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55" w:rsidRDefault="00E34255" w:rsidP="00E342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d-ID"/>
        </w:rPr>
      </w:pPr>
      <w:bookmarkStart w:id="0" w:name="_Toc19705_WPSOffice_Level1"/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  <w:lang w:eastAsia="id-ID"/>
        </w:rPr>
        <w:t>BAB VI</w:t>
      </w:r>
    </w:p>
    <w:p w:rsidR="00E34255" w:rsidRDefault="00E34255" w:rsidP="00E34255">
      <w:pPr>
        <w:spacing w:afterLines="150" w:after="3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d-ID"/>
        </w:rPr>
      </w:pPr>
      <w:bookmarkStart w:id="2" w:name="_Toc16895_WPSOffice_Level1"/>
      <w:r>
        <w:rPr>
          <w:rFonts w:ascii="Times New Roman" w:hAnsi="Times New Roman" w:cs="Times New Roman"/>
          <w:b/>
          <w:bCs/>
          <w:sz w:val="28"/>
          <w:szCs w:val="28"/>
          <w:lang w:eastAsia="id-ID"/>
        </w:rPr>
        <w:t>KESIMPULAN DAN SARAN</w:t>
      </w:r>
      <w:bookmarkEnd w:id="2"/>
    </w:p>
    <w:p w:rsidR="00E34255" w:rsidRDefault="00E34255" w:rsidP="00E3425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  <w:bookmarkStart w:id="3" w:name="_Toc30926_WPSOffice_Level1"/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id-ID"/>
        </w:rPr>
        <w:t>Kesimpulan</w:t>
      </w:r>
      <w:bookmarkEnd w:id="3"/>
      <w:proofErr w:type="spellEnd"/>
    </w:p>
    <w:p w:rsidR="00E34255" w:rsidRDefault="00E34255" w:rsidP="00E34255">
      <w:pPr>
        <w:spacing w:after="0" w:line="360" w:lineRule="auto"/>
        <w:ind w:leftChars="200" w:left="400" w:firstLine="4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S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subjektif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penunjang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objektif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penatalaksanaan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</w:p>
    <w:p w:rsidR="00E34255" w:rsidRDefault="00E34255" w:rsidP="00E34255">
      <w:pPr>
        <w:numPr>
          <w:ilvl w:val="0"/>
          <w:numId w:val="2"/>
        </w:numPr>
        <w:spacing w:after="0" w:line="360" w:lineRule="auto"/>
        <w:ind w:leftChars="200" w:left="40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bookmarkStart w:id="4" w:name="_Toc26689_WPSOffice_Level2"/>
      <w:r>
        <w:rPr>
          <w:rFonts w:ascii="Times New Roman" w:hAnsi="Times New Roman" w:cs="Times New Roman"/>
          <w:sz w:val="24"/>
          <w:szCs w:val="24"/>
          <w:lang w:eastAsia="id-ID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Subjektif</w:t>
      </w:r>
      <w:bookmarkEnd w:id="4"/>
      <w:proofErr w:type="spellEnd"/>
    </w:p>
    <w:p w:rsidR="00E34255" w:rsidRDefault="00E34255" w:rsidP="00E34255">
      <w:pPr>
        <w:spacing w:after="0" w:line="360" w:lineRule="auto"/>
        <w:ind w:leftChars="300" w:left="60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anamnesa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subjektif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mengeluh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bayinya berusia 28 hari mengalami kuning pada mata, kulit tubuh bayi kuning sampai lutut sejak usia bayi 1 minggu dan hanya dibawa ke bidan saat usia 2 minggu, tidak kunjung sembuh setelah 28 hari sehingga dianjurkan untuk pemeriksaan labolatorium di RS. B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ayi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rewel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menyusu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 xml:space="preserve">BAB 2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Ibu melakukan pemeriksaan Labolatorium pada usia kehamilan 24 minggu, hasilnya Hb 12,6 HBsAg: non reakif(negatif)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: 2200 gram,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injek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HB-0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Ibu tidak melakukan kunjungan ulang sesudah </w:t>
      </w:r>
      <w:r>
        <w:rPr>
          <w:rFonts w:ascii="Times New Roman" w:hAnsi="Times New Roman" w:cs="Times New Roman"/>
          <w:sz w:val="24"/>
          <w:szCs w:val="24"/>
          <w:lang w:eastAsia="id-ID"/>
        </w:rPr>
        <w:t>be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rsalin, tidak ke posyandu dan tidak dikunjungi bidan, serta belum dilakukan imunisasi apapun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</w:p>
    <w:p w:rsidR="00E34255" w:rsidRDefault="00E34255" w:rsidP="00E34255">
      <w:pPr>
        <w:numPr>
          <w:ilvl w:val="0"/>
          <w:numId w:val="2"/>
        </w:numPr>
        <w:spacing w:after="0" w:line="360" w:lineRule="auto"/>
        <w:ind w:leftChars="200" w:left="40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bookmarkStart w:id="5" w:name="_Toc11819_WPSOffice_Level2"/>
      <w:r>
        <w:rPr>
          <w:rFonts w:ascii="Times New Roman" w:hAnsi="Times New Roman" w:cs="Times New Roman"/>
          <w:sz w:val="24"/>
          <w:szCs w:val="24"/>
          <w:lang w:eastAsia="id-ID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Objektif</w:t>
      </w:r>
      <w:bookmarkEnd w:id="5"/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</w:p>
    <w:p w:rsidR="00E34255" w:rsidRDefault="00E34255" w:rsidP="00E34255">
      <w:pPr>
        <w:spacing w:after="0" w:line="360" w:lineRule="auto"/>
        <w:ind w:leftChars="300" w:left="600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Dari data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objektif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tanda-tanda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vital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normal,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kuning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diseluruh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sklera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ekstremitas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tingginya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bilirubin total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by S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id-ID"/>
        </w:rPr>
        <w:t>13,20 mg/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id-ID"/>
        </w:rPr>
        <w:t>dL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saat menyusui bayi sulit menghisap dengan baik (reflek sucking lemah). </w:t>
      </w:r>
    </w:p>
    <w:p w:rsidR="00E34255" w:rsidRPr="00E34255" w:rsidRDefault="00E34255" w:rsidP="006D08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 w:eastAsia="id-ID"/>
        </w:rPr>
        <w:sectPr w:rsidR="00E34255" w:rsidRPr="00E34255" w:rsidSect="00E34255">
          <w:headerReference w:type="default" r:id="rId8"/>
          <w:footerReference w:type="first" r:id="rId9"/>
          <w:pgSz w:w="11907" w:h="16839" w:code="9"/>
          <w:pgMar w:top="2268" w:right="1701" w:bottom="1701" w:left="2268" w:header="708" w:footer="708" w:gutter="0"/>
          <w:pgNumType w:start="75"/>
          <w:cols w:space="708"/>
          <w:titlePg/>
          <w:docGrid w:linePitch="360"/>
        </w:sectPr>
      </w:pPr>
    </w:p>
    <w:bookmarkEnd w:id="0"/>
    <w:p w:rsidR="00E34255" w:rsidRDefault="00E34255" w:rsidP="00E34255">
      <w:pPr>
        <w:numPr>
          <w:ilvl w:val="0"/>
          <w:numId w:val="2"/>
        </w:numPr>
        <w:spacing w:after="0" w:line="360" w:lineRule="auto"/>
        <w:ind w:leftChars="200" w:left="599" w:hangingChars="83" w:hanging="19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lastRenderedPageBreak/>
        <w:t>Analisa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</w:p>
    <w:p w:rsidR="006D08C3" w:rsidRDefault="006D08C3" w:rsidP="006D08C3">
      <w:pPr>
        <w:spacing w:after="0" w:line="360" w:lineRule="auto"/>
        <w:ind w:leftChars="300" w:left="60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subjektif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objektif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ditegakkan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By S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neonatus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28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Hiperbilirubinemia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6D08C3" w:rsidRDefault="006D08C3" w:rsidP="006D08C3">
      <w:pPr>
        <w:numPr>
          <w:ilvl w:val="0"/>
          <w:numId w:val="2"/>
        </w:numPr>
        <w:spacing w:after="0" w:line="360" w:lineRule="auto"/>
        <w:ind w:leftChars="200" w:left="599" w:hangingChars="83" w:hanging="19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bookmarkStart w:id="6" w:name="_Toc30511_WPSOffice_Level2"/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Penatalaksanaan</w:t>
      </w:r>
      <w:bookmarkEnd w:id="6"/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</w:p>
    <w:p w:rsidR="006D08C3" w:rsidRDefault="006D08C3" w:rsidP="006D08C3">
      <w:pPr>
        <w:spacing w:after="0" w:line="360" w:lineRule="auto"/>
        <w:ind w:leftChars="300" w:left="60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ditegakan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pemantauan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TTV 3 jam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ASI/PASI 12x60ml,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berkolaborasi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Labolatorium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spesialis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advice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fototherapi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16.00 WIB 1x24 jam.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fototherapi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bilirubin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bilirubin total </w:t>
      </w:r>
      <w:r>
        <w:rPr>
          <w:rFonts w:ascii="Times New Roman" w:eastAsia="SimSun" w:hAnsi="Times New Roman" w:cs="Times New Roman"/>
          <w:sz w:val="24"/>
          <w:szCs w:val="24"/>
          <w:lang w:eastAsia="id-ID"/>
        </w:rPr>
        <w:t>8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id-ID"/>
        </w:rPr>
        <w:t>,76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id-ID"/>
        </w:rPr>
        <w:t xml:space="preserve"> mg/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id-ID"/>
        </w:rPr>
        <w:t>dL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id-ID"/>
        </w:rPr>
        <w:t xml:space="preserve"> (normal)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advice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bilirubin total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dibolehkan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pulang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6D08C3" w:rsidRDefault="006D08C3" w:rsidP="006D0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6D08C3" w:rsidRDefault="006D08C3" w:rsidP="006D08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  <w:bookmarkStart w:id="7" w:name="_Toc4843_WPSOffice_Level1"/>
      <w:r>
        <w:rPr>
          <w:rFonts w:ascii="Times New Roman" w:hAnsi="Times New Roman" w:cs="Times New Roman"/>
          <w:b/>
          <w:bCs/>
          <w:sz w:val="24"/>
          <w:szCs w:val="24"/>
          <w:lang w:eastAsia="id-ID"/>
        </w:rPr>
        <w:t>Saran</w:t>
      </w:r>
      <w:bookmarkEnd w:id="7"/>
      <w:r>
        <w:rPr>
          <w:rFonts w:ascii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</w:p>
    <w:p w:rsidR="006D08C3" w:rsidRDefault="006D08C3" w:rsidP="006D08C3">
      <w:pPr>
        <w:spacing w:after="0" w:line="360" w:lineRule="auto"/>
        <w:ind w:leftChars="200" w:left="40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saran-saran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perbaikan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: </w:t>
      </w:r>
    </w:p>
    <w:p w:rsidR="006D08C3" w:rsidRDefault="006D08C3" w:rsidP="006D08C3">
      <w:pPr>
        <w:numPr>
          <w:ilvl w:val="0"/>
          <w:numId w:val="4"/>
        </w:numPr>
        <w:spacing w:after="0" w:line="360" w:lineRule="auto"/>
        <w:ind w:leftChars="200" w:left="40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bookmarkStart w:id="8" w:name="_Toc25056_WPSOffice_Level2"/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Kesehatan</w:t>
      </w:r>
      <w:bookmarkEnd w:id="8"/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</w:p>
    <w:p w:rsidR="006D08C3" w:rsidRDefault="006D08C3" w:rsidP="006D08C3">
      <w:pPr>
        <w:spacing w:after="0" w:line="360" w:lineRule="auto"/>
        <w:ind w:leftChars="300" w:left="60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di RSUD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Leuwiliang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dijalani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kewenangan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</w:p>
    <w:p w:rsidR="006D08C3" w:rsidRDefault="006D08C3" w:rsidP="006D08C3">
      <w:pPr>
        <w:numPr>
          <w:ilvl w:val="0"/>
          <w:numId w:val="4"/>
        </w:numPr>
        <w:spacing w:after="0" w:line="360" w:lineRule="auto"/>
        <w:ind w:leftChars="200" w:left="40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bookmarkStart w:id="9" w:name="_Toc11840_WPSOffice_Level2"/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keluarga</w:t>
      </w:r>
      <w:bookmarkEnd w:id="9"/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</w:p>
    <w:p w:rsidR="006D08C3" w:rsidRDefault="006D08C3" w:rsidP="006D08C3">
      <w:pPr>
        <w:spacing w:after="0" w:line="360" w:lineRule="auto"/>
        <w:ind w:leftChars="300" w:left="60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hiperbilirubinemia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terlambat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 </w:t>
      </w:r>
    </w:p>
    <w:p w:rsidR="006D08C3" w:rsidRDefault="006D08C3" w:rsidP="006D08C3">
      <w:pPr>
        <w:numPr>
          <w:ilvl w:val="0"/>
          <w:numId w:val="4"/>
        </w:numPr>
        <w:spacing w:after="0" w:line="360" w:lineRule="auto"/>
        <w:ind w:leftChars="200" w:left="40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bookmarkStart w:id="10" w:name="_Toc24950_WPSOffice_Level2"/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Bidan</w:t>
      </w:r>
      <w:bookmarkEnd w:id="10"/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</w:p>
    <w:p w:rsidR="006D08C3" w:rsidRDefault="006D08C3" w:rsidP="006D08C3">
      <w:pPr>
        <w:spacing w:after="0" w:line="360" w:lineRule="auto"/>
        <w:ind w:leftChars="300" w:left="60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 </w:t>
      </w:r>
    </w:p>
    <w:p w:rsidR="005C5388" w:rsidRDefault="005C5388"/>
    <w:sectPr w:rsidR="005C5388" w:rsidSect="006D08C3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5C" w:rsidRDefault="008C485C" w:rsidP="00E34255">
      <w:pPr>
        <w:spacing w:after="0" w:line="240" w:lineRule="auto"/>
      </w:pPr>
      <w:r>
        <w:separator/>
      </w:r>
    </w:p>
  </w:endnote>
  <w:endnote w:type="continuationSeparator" w:id="0">
    <w:p w:rsidR="008C485C" w:rsidRDefault="008C485C" w:rsidP="00E3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572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255" w:rsidRDefault="00E342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E34255" w:rsidRDefault="00E34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5C" w:rsidRDefault="008C485C" w:rsidP="00E34255">
      <w:pPr>
        <w:spacing w:after="0" w:line="240" w:lineRule="auto"/>
      </w:pPr>
      <w:r>
        <w:separator/>
      </w:r>
    </w:p>
  </w:footnote>
  <w:footnote w:type="continuationSeparator" w:id="0">
    <w:p w:rsidR="008C485C" w:rsidRDefault="008C485C" w:rsidP="00E34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6317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4255" w:rsidRDefault="00E342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E34255" w:rsidRDefault="00E34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AF59"/>
    <w:multiLevelType w:val="singleLevel"/>
    <w:tmpl w:val="3124AF59"/>
    <w:lvl w:ilvl="0">
      <w:start w:val="1"/>
      <w:numFmt w:val="decimal"/>
      <w:suff w:val="space"/>
      <w:lvlText w:val="%1."/>
      <w:lvlJc w:val="left"/>
    </w:lvl>
  </w:abstractNum>
  <w:abstractNum w:abstractNumId="1">
    <w:nsid w:val="589E9E33"/>
    <w:multiLevelType w:val="singleLevel"/>
    <w:tmpl w:val="589E9E33"/>
    <w:lvl w:ilvl="0">
      <w:start w:val="1"/>
      <w:numFmt w:val="decimal"/>
      <w:suff w:val="space"/>
      <w:lvlText w:val="%1."/>
      <w:lvlJc w:val="left"/>
    </w:lvl>
  </w:abstractNum>
  <w:abstractNum w:abstractNumId="2">
    <w:nsid w:val="7512B914"/>
    <w:multiLevelType w:val="singleLevel"/>
    <w:tmpl w:val="7512B914"/>
    <w:lvl w:ilvl="0">
      <w:start w:val="2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7E5B5B6F"/>
    <w:multiLevelType w:val="singleLevel"/>
    <w:tmpl w:val="7E5B5B6F"/>
    <w:lvl w:ilvl="0">
      <w:start w:val="1"/>
      <w:numFmt w:val="upperLetter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C3"/>
    <w:rsid w:val="005C5388"/>
    <w:rsid w:val="006D08C3"/>
    <w:rsid w:val="008C485C"/>
    <w:rsid w:val="00E3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C3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255"/>
    <w:rPr>
      <w:rFonts w:eastAsiaTheme="minorEastAsi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3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55"/>
    <w:rPr>
      <w:rFonts w:eastAsiaTheme="minorEastAsi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C3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255"/>
    <w:rPr>
      <w:rFonts w:eastAsiaTheme="minorEastAsi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3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55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2020-09-02T22:33:00Z</dcterms:created>
  <dcterms:modified xsi:type="dcterms:W3CDTF">2020-09-03T23:51:00Z</dcterms:modified>
</cp:coreProperties>
</file>